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DF1" w14:textId="77777777" w:rsidR="001073BB" w:rsidRDefault="001073BB" w:rsidP="001073BB">
      <w:pPr>
        <w:spacing w:after="0"/>
        <w:ind w:left="79"/>
        <w:jc w:val="center"/>
        <w:rPr>
          <w:rFonts w:cstheme="minorHAnsi"/>
          <w:b/>
          <w:smallCaps/>
          <w:sz w:val="28"/>
          <w:szCs w:val="28"/>
        </w:rPr>
      </w:pPr>
    </w:p>
    <w:p w14:paraId="755F0B68" w14:textId="3DEF47C4" w:rsidR="001073BB" w:rsidRDefault="001073BB" w:rsidP="001073BB">
      <w:pPr>
        <w:spacing w:after="0"/>
        <w:ind w:left="79"/>
        <w:jc w:val="center"/>
        <w:rPr>
          <w:rFonts w:ascii="Arial Narrow" w:eastAsia="Times New Roman" w:hAnsi="Arial Narrow" w:cs="Times New Roman"/>
          <w:color w:val="000000"/>
          <w:lang w:eastAsia="sk-SK"/>
        </w:rPr>
      </w:pPr>
      <w:r w:rsidRPr="001073BB">
        <w:rPr>
          <w:rFonts w:cstheme="minorHAnsi"/>
          <w:b/>
          <w:smallCaps/>
          <w:sz w:val="28"/>
          <w:szCs w:val="28"/>
        </w:rPr>
        <w:t>Zoznam prioritných okresov</w:t>
      </w:r>
    </w:p>
    <w:p w14:paraId="66770FBA" w14:textId="72F21D77" w:rsidR="00542A00" w:rsidRPr="001073BB" w:rsidRDefault="001073BB" w:rsidP="001073BB">
      <w:pPr>
        <w:spacing w:after="0"/>
        <w:ind w:left="79"/>
        <w:jc w:val="center"/>
        <w:rPr>
          <w:rFonts w:ascii="Calibri" w:hAnsi="Calibri" w:cs="Calibri"/>
          <w:sz w:val="20"/>
          <w:szCs w:val="20"/>
        </w:rPr>
      </w:pPr>
      <w:r w:rsidRPr="001073BB">
        <w:rPr>
          <w:rFonts w:ascii="Calibri" w:eastAsia="Times New Roman" w:hAnsi="Calibri" w:cs="Calibri"/>
          <w:color w:val="000000"/>
          <w:sz w:val="20"/>
          <w:szCs w:val="20"/>
          <w:lang w:eastAsia="sk-SK"/>
        </w:rPr>
        <w:t>po zmene vyhlášky č. 274/2025 Ministerstva investícií, regionálneho rozvoja a informatizácie Slovenskej republiky z 1. októbra 2025 o počte prioritných okresov, o výpočte ukazovateľa regionálneho rozvoja a zverejňovaných údajoch v oblasti prioritných okresov účinnej od 8. mája 2026</w:t>
      </w:r>
      <w:r w:rsidR="00542A00">
        <w:rPr>
          <w:rStyle w:val="Odkaznapoznmkupodiarou"/>
          <w:rFonts w:ascii="Calibri" w:eastAsia="Times New Roman" w:hAnsi="Calibri" w:cs="Calibri"/>
          <w:color w:val="000000"/>
          <w:sz w:val="20"/>
          <w:szCs w:val="20"/>
          <w:lang w:eastAsia="sk-SK"/>
        </w:rPr>
        <w:footnoteReference w:id="1"/>
      </w:r>
    </w:p>
    <w:p w14:paraId="21887040" w14:textId="77777777" w:rsidR="001073BB" w:rsidRPr="00FA051A" w:rsidRDefault="001073BB" w:rsidP="00E61791">
      <w:pPr>
        <w:spacing w:after="0"/>
        <w:ind w:left="79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2976"/>
      </w:tblGrid>
      <w:tr w:rsidR="001073BB" w:rsidRPr="001073BB" w14:paraId="3C2436DE" w14:textId="7B92861C" w:rsidTr="00542A00">
        <w:trPr>
          <w:trHeight w:val="567"/>
        </w:trPr>
        <w:tc>
          <w:tcPr>
            <w:tcW w:w="1560" w:type="dxa"/>
            <w:vAlign w:val="bottom"/>
          </w:tcPr>
          <w:p w14:paraId="3CA62186" w14:textId="52A803C9" w:rsidR="001073BB" w:rsidRPr="00542A00" w:rsidRDefault="001073BB" w:rsidP="001073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4C60E454" w14:textId="66BF7C45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1560" w:type="dxa"/>
            <w:vAlign w:val="bottom"/>
          </w:tcPr>
          <w:p w14:paraId="036798B4" w14:textId="7ED05A88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3F2FE3D2" w14:textId="1A2E04DA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</w:tr>
      <w:tr w:rsidR="00542A00" w:rsidRPr="001073BB" w14:paraId="755DA97F" w14:textId="2B43CEAD" w:rsidTr="007030AC">
        <w:trPr>
          <w:trHeight w:val="567"/>
        </w:trPr>
        <w:tc>
          <w:tcPr>
            <w:tcW w:w="1560" w:type="dxa"/>
            <w:vAlign w:val="bottom"/>
          </w:tcPr>
          <w:p w14:paraId="77009D46" w14:textId="7C453617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976" w:type="dxa"/>
            <w:vAlign w:val="bottom"/>
          </w:tcPr>
          <w:p w14:paraId="6D9E84E8" w14:textId="3F6E69B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Rimavská Sobota</w:t>
            </w:r>
          </w:p>
        </w:tc>
        <w:tc>
          <w:tcPr>
            <w:tcW w:w="1560" w:type="dxa"/>
            <w:vAlign w:val="bottom"/>
          </w:tcPr>
          <w:p w14:paraId="6A777849" w14:textId="6180CCC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2976" w:type="dxa"/>
            <w:vAlign w:val="bottom"/>
          </w:tcPr>
          <w:p w14:paraId="635C7F17" w14:textId="253D16E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Košice - okolie</w:t>
            </w:r>
          </w:p>
        </w:tc>
      </w:tr>
      <w:tr w:rsidR="00542A00" w:rsidRPr="001073BB" w14:paraId="1201573C" w14:textId="6E8470B1" w:rsidTr="007030AC">
        <w:trPr>
          <w:trHeight w:val="567"/>
        </w:trPr>
        <w:tc>
          <w:tcPr>
            <w:tcW w:w="1560" w:type="dxa"/>
            <w:vAlign w:val="bottom"/>
          </w:tcPr>
          <w:p w14:paraId="253C58A9" w14:textId="52F5B57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976" w:type="dxa"/>
            <w:vAlign w:val="bottom"/>
          </w:tcPr>
          <w:p w14:paraId="1722180D" w14:textId="2AAD69A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Revúca</w:t>
            </w:r>
          </w:p>
        </w:tc>
        <w:tc>
          <w:tcPr>
            <w:tcW w:w="1560" w:type="dxa"/>
            <w:vAlign w:val="bottom"/>
          </w:tcPr>
          <w:p w14:paraId="51844E09" w14:textId="33A3AA1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2976" w:type="dxa"/>
            <w:vAlign w:val="bottom"/>
          </w:tcPr>
          <w:p w14:paraId="69E4203F" w14:textId="28C184A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Krupina</w:t>
            </w:r>
          </w:p>
        </w:tc>
      </w:tr>
      <w:tr w:rsidR="00542A00" w:rsidRPr="001073BB" w14:paraId="171BC7BE" w14:textId="6FB60B18" w:rsidTr="007030AC">
        <w:trPr>
          <w:trHeight w:val="567"/>
        </w:trPr>
        <w:tc>
          <w:tcPr>
            <w:tcW w:w="1560" w:type="dxa"/>
            <w:vAlign w:val="bottom"/>
          </w:tcPr>
          <w:p w14:paraId="587C483A" w14:textId="0F523514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976" w:type="dxa"/>
            <w:vAlign w:val="bottom"/>
          </w:tcPr>
          <w:p w14:paraId="32EBB216" w14:textId="145FA963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Medzilaborce</w:t>
            </w:r>
          </w:p>
        </w:tc>
        <w:tc>
          <w:tcPr>
            <w:tcW w:w="1560" w:type="dxa"/>
            <w:vAlign w:val="bottom"/>
          </w:tcPr>
          <w:p w14:paraId="6E67A4A1" w14:textId="230AF96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976" w:type="dxa"/>
            <w:vAlign w:val="bottom"/>
          </w:tcPr>
          <w:p w14:paraId="35D47B60" w14:textId="770D914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Spišská Nová Ves</w:t>
            </w:r>
          </w:p>
        </w:tc>
      </w:tr>
      <w:tr w:rsidR="00542A00" w:rsidRPr="001073BB" w14:paraId="6873DCDC" w14:textId="338DDBD5" w:rsidTr="007030AC">
        <w:trPr>
          <w:trHeight w:val="567"/>
        </w:trPr>
        <w:tc>
          <w:tcPr>
            <w:tcW w:w="1560" w:type="dxa"/>
            <w:vAlign w:val="bottom"/>
          </w:tcPr>
          <w:p w14:paraId="1FCA7E05" w14:textId="0A87D41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976" w:type="dxa"/>
            <w:vAlign w:val="bottom"/>
          </w:tcPr>
          <w:p w14:paraId="36514FEC" w14:textId="412CCD06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60" w:type="dxa"/>
            <w:vAlign w:val="bottom"/>
          </w:tcPr>
          <w:p w14:paraId="09538200" w14:textId="5E8AE32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2976" w:type="dxa"/>
            <w:vAlign w:val="bottom"/>
          </w:tcPr>
          <w:p w14:paraId="64373891" w14:textId="113915F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</w:tr>
      <w:tr w:rsidR="00542A00" w:rsidRPr="001073BB" w14:paraId="4F4F535D" w14:textId="358209BD" w:rsidTr="007030AC">
        <w:trPr>
          <w:trHeight w:val="567"/>
        </w:trPr>
        <w:tc>
          <w:tcPr>
            <w:tcW w:w="1560" w:type="dxa"/>
            <w:vAlign w:val="bottom"/>
          </w:tcPr>
          <w:p w14:paraId="3FECD2BE" w14:textId="046E2CC0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976" w:type="dxa"/>
            <w:vAlign w:val="bottom"/>
          </w:tcPr>
          <w:p w14:paraId="7B5D8F4C" w14:textId="2BADAB04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Rožňava</w:t>
            </w:r>
          </w:p>
        </w:tc>
        <w:tc>
          <w:tcPr>
            <w:tcW w:w="1560" w:type="dxa"/>
            <w:vAlign w:val="bottom"/>
          </w:tcPr>
          <w:p w14:paraId="497D0B9F" w14:textId="560CE43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2976" w:type="dxa"/>
            <w:vAlign w:val="bottom"/>
          </w:tcPr>
          <w:p w14:paraId="58BC6330" w14:textId="479D293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Stará Ľubovňa</w:t>
            </w:r>
          </w:p>
        </w:tc>
      </w:tr>
      <w:tr w:rsidR="00542A00" w:rsidRPr="001073BB" w14:paraId="028C6E3B" w14:textId="4E3605DF" w:rsidTr="007030AC">
        <w:trPr>
          <w:trHeight w:val="567"/>
        </w:trPr>
        <w:tc>
          <w:tcPr>
            <w:tcW w:w="1560" w:type="dxa"/>
            <w:vAlign w:val="bottom"/>
          </w:tcPr>
          <w:p w14:paraId="313E0142" w14:textId="43DCFD7A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976" w:type="dxa"/>
            <w:vAlign w:val="bottom"/>
          </w:tcPr>
          <w:p w14:paraId="32C31F16" w14:textId="0437297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Kežmarok</w:t>
            </w:r>
          </w:p>
        </w:tc>
        <w:tc>
          <w:tcPr>
            <w:tcW w:w="1560" w:type="dxa"/>
            <w:vAlign w:val="bottom"/>
          </w:tcPr>
          <w:p w14:paraId="21AB0A8B" w14:textId="7343052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2976" w:type="dxa"/>
            <w:vAlign w:val="bottom"/>
          </w:tcPr>
          <w:p w14:paraId="098C2943" w14:textId="6D28E79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</w:tr>
      <w:tr w:rsidR="00542A00" w:rsidRPr="001073BB" w14:paraId="65D7555C" w14:textId="61179C5F" w:rsidTr="007030AC">
        <w:trPr>
          <w:trHeight w:val="567"/>
        </w:trPr>
        <w:tc>
          <w:tcPr>
            <w:tcW w:w="1560" w:type="dxa"/>
            <w:vAlign w:val="bottom"/>
          </w:tcPr>
          <w:p w14:paraId="606D7BBD" w14:textId="48D37D6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976" w:type="dxa"/>
            <w:vAlign w:val="bottom"/>
          </w:tcPr>
          <w:p w14:paraId="6330E53E" w14:textId="2CC1951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Vranov nad Topľou</w:t>
            </w:r>
          </w:p>
        </w:tc>
        <w:tc>
          <w:tcPr>
            <w:tcW w:w="1560" w:type="dxa"/>
            <w:vAlign w:val="bottom"/>
          </w:tcPr>
          <w:p w14:paraId="1E644C9F" w14:textId="554A01B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2976" w:type="dxa"/>
            <w:vAlign w:val="bottom"/>
          </w:tcPr>
          <w:p w14:paraId="61D6C8B8" w14:textId="132FE22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Snina</w:t>
            </w:r>
          </w:p>
        </w:tc>
      </w:tr>
      <w:tr w:rsidR="00542A00" w:rsidRPr="001073BB" w14:paraId="45B98E6B" w14:textId="07DF1D61" w:rsidTr="007030AC">
        <w:trPr>
          <w:trHeight w:val="567"/>
        </w:trPr>
        <w:tc>
          <w:tcPr>
            <w:tcW w:w="1560" w:type="dxa"/>
            <w:vAlign w:val="bottom"/>
          </w:tcPr>
          <w:p w14:paraId="10F2A276" w14:textId="1E38115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976" w:type="dxa"/>
            <w:vAlign w:val="bottom"/>
          </w:tcPr>
          <w:p w14:paraId="474F3BE5" w14:textId="3439046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Poltár</w:t>
            </w:r>
          </w:p>
        </w:tc>
        <w:tc>
          <w:tcPr>
            <w:tcW w:w="1560" w:type="dxa"/>
            <w:vAlign w:val="bottom"/>
          </w:tcPr>
          <w:p w14:paraId="000FCF09" w14:textId="2F03DFD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2976" w:type="dxa"/>
            <w:vAlign w:val="bottom"/>
          </w:tcPr>
          <w:p w14:paraId="1576C03F" w14:textId="42AFF82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Humenné</w:t>
            </w:r>
          </w:p>
        </w:tc>
      </w:tr>
      <w:tr w:rsidR="00542A00" w:rsidRPr="001073BB" w14:paraId="7F7237F7" w14:textId="07B9F899" w:rsidTr="007030AC">
        <w:trPr>
          <w:trHeight w:val="567"/>
        </w:trPr>
        <w:tc>
          <w:tcPr>
            <w:tcW w:w="1560" w:type="dxa"/>
            <w:vAlign w:val="bottom"/>
          </w:tcPr>
          <w:p w14:paraId="7521D62E" w14:textId="5BD9F1AB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976" w:type="dxa"/>
            <w:vAlign w:val="bottom"/>
          </w:tcPr>
          <w:p w14:paraId="2E22931B" w14:textId="2D69A21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Sobrance</w:t>
            </w:r>
          </w:p>
        </w:tc>
        <w:tc>
          <w:tcPr>
            <w:tcW w:w="1560" w:type="dxa"/>
            <w:vAlign w:val="bottom"/>
          </w:tcPr>
          <w:p w14:paraId="2D374059" w14:textId="73CED17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2976" w:type="dxa"/>
            <w:vAlign w:val="bottom"/>
          </w:tcPr>
          <w:p w14:paraId="0482B28B" w14:textId="6046CD5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Prešov </w:t>
            </w:r>
          </w:p>
        </w:tc>
      </w:tr>
      <w:tr w:rsidR="00542A00" w:rsidRPr="001073BB" w14:paraId="7163E890" w14:textId="25083160" w:rsidTr="007030AC">
        <w:trPr>
          <w:trHeight w:val="567"/>
        </w:trPr>
        <w:tc>
          <w:tcPr>
            <w:tcW w:w="1560" w:type="dxa"/>
            <w:vAlign w:val="bottom"/>
          </w:tcPr>
          <w:p w14:paraId="58604E29" w14:textId="7750D478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976" w:type="dxa"/>
            <w:vAlign w:val="bottom"/>
          </w:tcPr>
          <w:p w14:paraId="01A350EB" w14:textId="742256F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Trebišov</w:t>
            </w:r>
          </w:p>
        </w:tc>
        <w:tc>
          <w:tcPr>
            <w:tcW w:w="1560" w:type="dxa"/>
            <w:vAlign w:val="bottom"/>
          </w:tcPr>
          <w:p w14:paraId="5EC2F766" w14:textId="17419B3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2976" w:type="dxa"/>
            <w:vAlign w:val="bottom"/>
          </w:tcPr>
          <w:p w14:paraId="465AF02A" w14:textId="4AEB6CE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</w:tr>
      <w:tr w:rsidR="00542A00" w:rsidRPr="001073BB" w14:paraId="267F30DC" w14:textId="29BC4F41" w:rsidTr="007030AC">
        <w:trPr>
          <w:trHeight w:val="567"/>
        </w:trPr>
        <w:tc>
          <w:tcPr>
            <w:tcW w:w="1560" w:type="dxa"/>
            <w:vAlign w:val="bottom"/>
          </w:tcPr>
          <w:p w14:paraId="5616C5C5" w14:textId="355027F9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976" w:type="dxa"/>
            <w:vAlign w:val="bottom"/>
          </w:tcPr>
          <w:p w14:paraId="42ADF43A" w14:textId="646FEFF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Stropkov</w:t>
            </w:r>
          </w:p>
        </w:tc>
        <w:tc>
          <w:tcPr>
            <w:tcW w:w="1560" w:type="dxa"/>
            <w:vAlign w:val="bottom"/>
          </w:tcPr>
          <w:p w14:paraId="45E1BDD3" w14:textId="44BEE74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2976" w:type="dxa"/>
            <w:vAlign w:val="bottom"/>
          </w:tcPr>
          <w:p w14:paraId="38393BD8" w14:textId="6ABAD865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</w:tr>
      <w:tr w:rsidR="00542A00" w:rsidRPr="001073BB" w14:paraId="2D9154E4" w14:textId="06B98F09" w:rsidTr="007030AC">
        <w:trPr>
          <w:trHeight w:val="567"/>
        </w:trPr>
        <w:tc>
          <w:tcPr>
            <w:tcW w:w="1560" w:type="dxa"/>
            <w:vAlign w:val="bottom"/>
          </w:tcPr>
          <w:p w14:paraId="3B94B42C" w14:textId="313D18F6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976" w:type="dxa"/>
            <w:vAlign w:val="bottom"/>
          </w:tcPr>
          <w:p w14:paraId="52D0C138" w14:textId="3556B33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Svidník</w:t>
            </w:r>
          </w:p>
        </w:tc>
        <w:tc>
          <w:tcPr>
            <w:tcW w:w="1560" w:type="dxa"/>
            <w:vAlign w:val="bottom"/>
          </w:tcPr>
          <w:p w14:paraId="1C6DC100" w14:textId="1D0C797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2976" w:type="dxa"/>
            <w:vAlign w:val="bottom"/>
          </w:tcPr>
          <w:p w14:paraId="17B0FD47" w14:textId="029D0E8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Žarnovica</w:t>
            </w:r>
          </w:p>
        </w:tc>
      </w:tr>
      <w:tr w:rsidR="00542A00" w:rsidRPr="001073BB" w14:paraId="6F5B6BCB" w14:textId="7BF13853" w:rsidTr="007030AC">
        <w:trPr>
          <w:trHeight w:val="567"/>
        </w:trPr>
        <w:tc>
          <w:tcPr>
            <w:tcW w:w="1560" w:type="dxa"/>
            <w:vAlign w:val="bottom"/>
          </w:tcPr>
          <w:p w14:paraId="7347EF5F" w14:textId="6CCE3A97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976" w:type="dxa"/>
            <w:vAlign w:val="bottom"/>
          </w:tcPr>
          <w:p w14:paraId="29B712DD" w14:textId="5A26644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Sabinov</w:t>
            </w:r>
          </w:p>
        </w:tc>
        <w:tc>
          <w:tcPr>
            <w:tcW w:w="1560" w:type="dxa"/>
            <w:vAlign w:val="bottom"/>
          </w:tcPr>
          <w:p w14:paraId="2E36477F" w14:textId="5E43C07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2976" w:type="dxa"/>
            <w:vAlign w:val="bottom"/>
          </w:tcPr>
          <w:p w14:paraId="700AB672" w14:textId="683A6FA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Banská Štiavnica</w:t>
            </w:r>
          </w:p>
        </w:tc>
      </w:tr>
      <w:tr w:rsidR="00542A00" w:rsidRPr="001073BB" w14:paraId="73590A82" w14:textId="66061BA3" w:rsidTr="007030AC">
        <w:trPr>
          <w:trHeight w:val="567"/>
        </w:trPr>
        <w:tc>
          <w:tcPr>
            <w:tcW w:w="1560" w:type="dxa"/>
            <w:vAlign w:val="bottom"/>
          </w:tcPr>
          <w:p w14:paraId="6A2A69CC" w14:textId="31E40364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976" w:type="dxa"/>
            <w:vAlign w:val="bottom"/>
          </w:tcPr>
          <w:p w14:paraId="7829B6DC" w14:textId="0DE1D81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Lučenec</w:t>
            </w:r>
          </w:p>
        </w:tc>
        <w:tc>
          <w:tcPr>
            <w:tcW w:w="1560" w:type="dxa"/>
            <w:vAlign w:val="bottom"/>
          </w:tcPr>
          <w:p w14:paraId="00F175A4" w14:textId="24D9C71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2976" w:type="dxa"/>
            <w:vAlign w:val="bottom"/>
          </w:tcPr>
          <w:p w14:paraId="135F2F88" w14:textId="51B76F0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</w:tr>
      <w:tr w:rsidR="00542A00" w:rsidRPr="001073BB" w14:paraId="6A36BE68" w14:textId="45AF3CC9" w:rsidTr="007030AC">
        <w:trPr>
          <w:trHeight w:val="567"/>
        </w:trPr>
        <w:tc>
          <w:tcPr>
            <w:tcW w:w="1560" w:type="dxa"/>
            <w:vAlign w:val="bottom"/>
          </w:tcPr>
          <w:p w14:paraId="6D61FAAA" w14:textId="5579390F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976" w:type="dxa"/>
            <w:vAlign w:val="bottom"/>
          </w:tcPr>
          <w:p w14:paraId="62DA4284" w14:textId="2C2B3A6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Veľký Krtíš</w:t>
            </w:r>
          </w:p>
        </w:tc>
        <w:tc>
          <w:tcPr>
            <w:tcW w:w="1560" w:type="dxa"/>
            <w:vAlign w:val="bottom"/>
          </w:tcPr>
          <w:p w14:paraId="4B059F2D" w14:textId="052B702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2976" w:type="dxa"/>
            <w:vAlign w:val="bottom"/>
          </w:tcPr>
          <w:p w14:paraId="6EBBD6B0" w14:textId="6E7A77B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Detva</w:t>
            </w:r>
          </w:p>
        </w:tc>
      </w:tr>
      <w:tr w:rsidR="00542A00" w:rsidRPr="001073BB" w14:paraId="63DA02C9" w14:textId="37281ED1" w:rsidTr="00542A00">
        <w:trPr>
          <w:trHeight w:val="567"/>
        </w:trPr>
        <w:tc>
          <w:tcPr>
            <w:tcW w:w="1560" w:type="dxa"/>
            <w:vAlign w:val="bottom"/>
          </w:tcPr>
          <w:p w14:paraId="72FE9C3E" w14:textId="514A4A82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2976" w:type="dxa"/>
            <w:vAlign w:val="bottom"/>
          </w:tcPr>
          <w:p w14:paraId="2CBCD8E8" w14:textId="116C51AB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Bardejov</w:t>
            </w:r>
          </w:p>
        </w:tc>
        <w:tc>
          <w:tcPr>
            <w:tcW w:w="1560" w:type="dxa"/>
          </w:tcPr>
          <w:p w14:paraId="0641CCA0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932FB97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825E1AA" w14:textId="13217952" w:rsidR="00E61791" w:rsidRPr="00542A00" w:rsidRDefault="00542A00" w:rsidP="001073BB">
      <w:pPr>
        <w:spacing w:after="0"/>
        <w:jc w:val="both"/>
        <w:rPr>
          <w:rFonts w:cstheme="minorHAnsi"/>
          <w:sz w:val="20"/>
          <w:szCs w:val="20"/>
        </w:rPr>
      </w:pPr>
      <w:r w:rsidRPr="00542A00">
        <w:rPr>
          <w:rFonts w:eastAsia="Times New Roman" w:cstheme="minorHAnsi"/>
          <w:color w:val="000000"/>
          <w:sz w:val="20"/>
          <w:szCs w:val="20"/>
          <w:lang w:eastAsia="sk-SK"/>
        </w:rPr>
        <w:t>Poznámka: Zoznam prioritných okresov vychádza zo zoznamu vybraných okresov. Okres Prešov sa v zozname vybraných okresov nenachádza, keďže zoznam vybraných okresov tvoria všetky okresy okrem okresov krajských miest. Podľa hodnoty regionálneho ukazovateľa je okres Prešov na 25. mieste zoznamu všetkých okresov SR.</w:t>
      </w:r>
    </w:p>
    <w:sectPr w:rsidR="00E61791" w:rsidRPr="00542A00" w:rsidSect="000039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A08" w14:textId="77777777" w:rsidR="00BA2FAC" w:rsidRDefault="00BA2FAC" w:rsidP="00847E64">
      <w:pPr>
        <w:spacing w:after="0" w:line="240" w:lineRule="auto"/>
      </w:pPr>
      <w:r>
        <w:separator/>
      </w:r>
    </w:p>
  </w:endnote>
  <w:endnote w:type="continuationSeparator" w:id="0">
    <w:p w14:paraId="3AA5B682" w14:textId="77777777" w:rsidR="00BA2FAC" w:rsidRDefault="00BA2FAC" w:rsidP="008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A113" w14:textId="77777777" w:rsidR="00BA2FAC" w:rsidRDefault="00BA2FAC" w:rsidP="00847E64">
      <w:pPr>
        <w:spacing w:after="0" w:line="240" w:lineRule="auto"/>
      </w:pPr>
      <w:r>
        <w:separator/>
      </w:r>
    </w:p>
  </w:footnote>
  <w:footnote w:type="continuationSeparator" w:id="0">
    <w:p w14:paraId="3FAD26B1" w14:textId="77777777" w:rsidR="00BA2FAC" w:rsidRDefault="00BA2FAC" w:rsidP="00847E64">
      <w:pPr>
        <w:spacing w:after="0" w:line="240" w:lineRule="auto"/>
      </w:pPr>
      <w:r>
        <w:continuationSeparator/>
      </w:r>
    </w:p>
  </w:footnote>
  <w:footnote w:id="1">
    <w:p w14:paraId="4D616583" w14:textId="227918CA" w:rsidR="00542A00" w:rsidRDefault="00542A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1180E" w:rsidRPr="00A1180E">
        <w:rPr>
          <w:sz w:val="18"/>
          <w:szCs w:val="18"/>
        </w:rPr>
        <w:t xml:space="preserve">Zdroj: </w:t>
      </w:r>
      <w:hyperlink r:id="rId1" w:history="1">
        <w:r w:rsidR="00A1180E" w:rsidRPr="00287CA3">
          <w:rPr>
            <w:rStyle w:val="Hypertextovprepojenie"/>
            <w:rFonts w:cstheme="minorHAnsi"/>
            <w:sz w:val="18"/>
            <w:szCs w:val="18"/>
          </w:rPr>
          <w:t>https://mirri.gov.sk/sekcie/regionalny-rozvoj-2/prioritne-okresy/zoznam-prioritnych-a-vybranych-okresov/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3BE4" w14:textId="77777777" w:rsidR="00FA051A" w:rsidRDefault="00FA051A" w:rsidP="00FA051A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0A61167" wp14:editId="4DF6671F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0DEEDC7" wp14:editId="035492C9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E8FD1EE" wp14:editId="4E75838B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D444231" wp14:editId="0EAC0B5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DF3" w14:textId="77777777" w:rsidR="00FA051A" w:rsidRDefault="00FA051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91"/>
    <w:rsid w:val="00003963"/>
    <w:rsid w:val="00097CC6"/>
    <w:rsid w:val="001073BB"/>
    <w:rsid w:val="001A2E2E"/>
    <w:rsid w:val="001B101A"/>
    <w:rsid w:val="00287CA3"/>
    <w:rsid w:val="003819AF"/>
    <w:rsid w:val="00542A00"/>
    <w:rsid w:val="005838B4"/>
    <w:rsid w:val="005A6B38"/>
    <w:rsid w:val="005A7CCE"/>
    <w:rsid w:val="005D4273"/>
    <w:rsid w:val="00665F5A"/>
    <w:rsid w:val="00716C25"/>
    <w:rsid w:val="00760C9B"/>
    <w:rsid w:val="00791D18"/>
    <w:rsid w:val="00847E64"/>
    <w:rsid w:val="00944613"/>
    <w:rsid w:val="00976217"/>
    <w:rsid w:val="009C3B16"/>
    <w:rsid w:val="00A1180E"/>
    <w:rsid w:val="00AB2766"/>
    <w:rsid w:val="00BA2FAC"/>
    <w:rsid w:val="00BF148E"/>
    <w:rsid w:val="00CA5CFA"/>
    <w:rsid w:val="00CC0204"/>
    <w:rsid w:val="00CF560F"/>
    <w:rsid w:val="00DE5C68"/>
    <w:rsid w:val="00E22597"/>
    <w:rsid w:val="00E61791"/>
    <w:rsid w:val="00EC0A04"/>
    <w:rsid w:val="00F01AEA"/>
    <w:rsid w:val="00F2253B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43D"/>
  <w15:chartTrackingRefBased/>
  <w15:docId w15:val="{B3A045A2-59D3-4436-9D79-C2B9E75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79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E64"/>
  </w:style>
  <w:style w:type="paragraph" w:styleId="Pta">
    <w:name w:val="footer"/>
    <w:basedOn w:val="Normlny"/>
    <w:link w:val="Pt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E64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nhideWhenUsed/>
    <w:qFormat/>
    <w:rsid w:val="00716C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rsid w:val="00716C25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716C25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16C25"/>
    <w:pPr>
      <w:spacing w:after="160"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716C25"/>
    <w:rPr>
      <w:i/>
      <w:iCs/>
    </w:rPr>
  </w:style>
  <w:style w:type="table" w:styleId="Mriekatabuky">
    <w:name w:val="Table Grid"/>
    <w:basedOn w:val="Normlnatabuka"/>
    <w:uiPriority w:val="59"/>
    <w:rsid w:val="0010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A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rri.gov.sk/sekcie/regionalny-rozvoj-2/prioritne-okresy/zoznam-prioritnych-a-vybranych-okreso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B26B-4400-42A0-BDCD-9D5BDF7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5</cp:revision>
  <dcterms:created xsi:type="dcterms:W3CDTF">2026-06-02T16:45:00Z</dcterms:created>
  <dcterms:modified xsi:type="dcterms:W3CDTF">2026-06-08T13:36:00Z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2024-06-12T07:15:24Z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c602612d-6b9c-4852-8ee4-e8cda055495b</vt:lpwstr>
  </property>
  <property fmtid="{D5CDD505-2E9C-101B-9397-08002B2CF9AE}" pid="8" name="MSIP_Label_71f49583-305d-4d31-a578-23419888fadf_ContentBits">
    <vt:lpwstr>0</vt:lpwstr>
  </property>
</Properties>
</file>